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45ED9" w14:textId="2660BC8C" w:rsidR="008F40FA" w:rsidRDefault="008F40FA" w:rsidP="004423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3"/>
        <w:jc w:val="center"/>
        <w:rPr>
          <w:b/>
          <w:color w:val="000000"/>
        </w:rPr>
      </w:pPr>
      <w:r>
        <w:rPr>
          <w:b/>
          <w:color w:val="000000"/>
        </w:rPr>
        <w:t>Примеры</w:t>
      </w:r>
      <w:r w:rsidRPr="00710494">
        <w:rPr>
          <w:b/>
          <w:color w:val="000000"/>
        </w:rPr>
        <w:t xml:space="preserve"> конкурсных заданий первого тура конкурса профессионального мастерства для инженерно-технических работников в сфере строительства по номинации «Лучший специалист по организации строительства» в 2022 году</w:t>
      </w:r>
    </w:p>
    <w:p w14:paraId="57FDA353" w14:textId="77777777" w:rsidR="004423F9" w:rsidRPr="00710494" w:rsidRDefault="004423F9" w:rsidP="004423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3"/>
        <w:jc w:val="center"/>
        <w:rPr>
          <w:b/>
          <w:color w:val="000000"/>
        </w:rPr>
      </w:pPr>
      <w:bookmarkStart w:id="0" w:name="_GoBack"/>
      <w:bookmarkEnd w:id="0"/>
    </w:p>
    <w:tbl>
      <w:tblPr>
        <w:tblW w:w="9505" w:type="dxa"/>
        <w:tblLayout w:type="fixed"/>
        <w:tblLook w:val="04A0" w:firstRow="1" w:lastRow="0" w:firstColumn="1" w:lastColumn="0" w:noHBand="0" w:noVBand="1"/>
      </w:tblPr>
      <w:tblGrid>
        <w:gridCol w:w="611"/>
        <w:gridCol w:w="2361"/>
        <w:gridCol w:w="1559"/>
        <w:gridCol w:w="1560"/>
        <w:gridCol w:w="1559"/>
        <w:gridCol w:w="1842"/>
        <w:gridCol w:w="13"/>
      </w:tblGrid>
      <w:tr w:rsidR="00947F43" w:rsidRPr="003801CC" w14:paraId="42185E99" w14:textId="77777777" w:rsidTr="00947F43">
        <w:trPr>
          <w:trHeight w:val="480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7A5A6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b/>
                <w:bCs/>
                <w:color w:val="000000"/>
                <w:position w:val="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A8F45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b/>
                <w:bCs/>
                <w:position w:val="0"/>
                <w:sz w:val="24"/>
                <w:szCs w:val="24"/>
                <w:lang w:eastAsia="ru-RU"/>
              </w:rPr>
              <w:t>Формулировка вопроса: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72C38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b/>
                <w:bCs/>
                <w:position w:val="0"/>
                <w:sz w:val="24"/>
                <w:szCs w:val="24"/>
                <w:lang w:eastAsia="ru-RU"/>
              </w:rPr>
              <w:t>Варианты ответов</w:t>
            </w:r>
          </w:p>
        </w:tc>
      </w:tr>
      <w:tr w:rsidR="00947F43" w:rsidRPr="003801CC" w14:paraId="4C6A26C8" w14:textId="77777777" w:rsidTr="00947F43">
        <w:trPr>
          <w:gridAfter w:val="1"/>
          <w:wAfter w:w="13" w:type="dxa"/>
          <w:trHeight w:val="870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F1EFE5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24"/>
                <w:szCs w:val="24"/>
                <w:lang w:eastAsia="ru-RU"/>
              </w:rPr>
            </w:pPr>
          </w:p>
        </w:tc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CF5A3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8590F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b/>
                <w:bCs/>
                <w:positio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D9567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b/>
                <w:bCs/>
                <w:positio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95B1F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b/>
                <w:bCs/>
                <w:positio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991C6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b/>
                <w:bCs/>
                <w:position w:val="0"/>
                <w:sz w:val="24"/>
                <w:szCs w:val="24"/>
                <w:lang w:eastAsia="ru-RU"/>
              </w:rPr>
              <w:t>4</w:t>
            </w:r>
          </w:p>
        </w:tc>
      </w:tr>
      <w:tr w:rsidR="00947F43" w:rsidRPr="003801CC" w14:paraId="0AAAAC0C" w14:textId="77777777" w:rsidTr="00947F43">
        <w:trPr>
          <w:trHeight w:val="312"/>
        </w:trPr>
        <w:tc>
          <w:tcPr>
            <w:tcW w:w="9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1F5E95EF" w14:textId="682E19CE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sz w:val="24"/>
                <w:szCs w:val="24"/>
                <w:lang w:eastAsia="ru-RU"/>
              </w:rPr>
            </w:pPr>
          </w:p>
        </w:tc>
      </w:tr>
      <w:tr w:rsidR="00947F43" w:rsidRPr="003801CC" w14:paraId="41F54ACD" w14:textId="77777777" w:rsidTr="00947F43">
        <w:trPr>
          <w:gridAfter w:val="1"/>
          <w:wAfter w:w="13" w:type="dxa"/>
          <w:trHeight w:val="132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0101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positio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E697D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position w:val="0"/>
                <w:sz w:val="24"/>
                <w:szCs w:val="24"/>
                <w:lang w:eastAsia="ru-RU"/>
              </w:rPr>
              <w:t>Как называется проект учитывающий экономическую целесообразность, объемы и сроки осуществления капитальных вложений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1D05A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position w:val="0"/>
                <w:sz w:val="24"/>
                <w:szCs w:val="24"/>
                <w:lang w:eastAsia="ru-RU"/>
              </w:rPr>
              <w:t>Результативный проект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2F4C5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position w:val="0"/>
                <w:sz w:val="24"/>
                <w:szCs w:val="24"/>
                <w:lang w:eastAsia="ru-RU"/>
              </w:rPr>
              <w:t>Экономический проект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50EDE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position w:val="0"/>
                <w:sz w:val="24"/>
                <w:szCs w:val="24"/>
                <w:lang w:eastAsia="ru-RU"/>
              </w:rPr>
              <w:t>Рабочий проект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84AAA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position w:val="0"/>
                <w:sz w:val="24"/>
                <w:szCs w:val="24"/>
                <w:lang w:eastAsia="ru-RU"/>
              </w:rPr>
              <w:t>Инвестиционный проект</w:t>
            </w:r>
          </w:p>
        </w:tc>
      </w:tr>
      <w:tr w:rsidR="00947F43" w:rsidRPr="003801CC" w14:paraId="4CD9E280" w14:textId="77777777" w:rsidTr="00947F43">
        <w:trPr>
          <w:gridAfter w:val="1"/>
          <w:wAfter w:w="13" w:type="dxa"/>
          <w:trHeight w:val="168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D326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positio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66B9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В каком виде представлены материалы проектной документации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A7BE3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В графической форме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F5B2D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В графической форме и (или) в форме технологических карт виртуальной реальности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9B186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В текстовой и графической формах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C67E1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В текстовой и графической формах и (или) в форме информационной модели</w:t>
            </w:r>
          </w:p>
        </w:tc>
      </w:tr>
      <w:tr w:rsidR="00947F43" w:rsidRPr="003801CC" w14:paraId="70E5F9A5" w14:textId="77777777" w:rsidTr="00947F43">
        <w:trPr>
          <w:gridAfter w:val="1"/>
          <w:wAfter w:w="13" w:type="dxa"/>
          <w:trHeight w:val="132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3890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positio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EE745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Складирование материалов, прокладка транспортных путей, установка опор воздушных линий электропередачи и связи должны производиться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B1EAD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в пределах строительной площадки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4C02B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в любом месте строительной площадки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D0C10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в пределах призмы обрушения грунта незакрепленных выемок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47E81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за пределами призмы обрушения грунта незакрепленных выемок</w:t>
            </w:r>
          </w:p>
        </w:tc>
      </w:tr>
      <w:tr w:rsidR="00947F43" w:rsidRPr="003801CC" w14:paraId="09159C53" w14:textId="77777777" w:rsidTr="00947F43">
        <w:trPr>
          <w:gridAfter w:val="1"/>
          <w:wAfter w:w="13" w:type="dxa"/>
          <w:trHeight w:val="132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3309B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position w:val="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CA44C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В течение какого срока можно обжаловать заключение экспертизы проектной документации и (или) экспертизы результатов инженерных изысканий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79FFF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В течение пяти лет со дня утверждения такого заключения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1CFCE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В течение года со дня утверждения такого заключения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DF2CB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В течение шести месяцев со дня утверждения такого заключения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8313C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В течение трех лет со дня утверждения такого заключения</w:t>
            </w:r>
          </w:p>
        </w:tc>
      </w:tr>
      <w:tr w:rsidR="00947F43" w:rsidRPr="003801CC" w14:paraId="11665EEB" w14:textId="77777777" w:rsidTr="00947F43">
        <w:trPr>
          <w:gridAfter w:val="1"/>
          <w:wAfter w:w="13" w:type="dxa"/>
          <w:trHeight w:val="158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232C8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position w:val="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2D42F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 xml:space="preserve">Что должно быть </w:t>
            </w:r>
            <w:proofErr w:type="gramStart"/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определено  в</w:t>
            </w:r>
            <w:proofErr w:type="gramEnd"/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 xml:space="preserve"> решении о консервации объекта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2EB64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перечень работ по консервации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D066A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лица, ответственные за сохранность и безопасность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BD4FE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сроки разработки технической документации, необходимой для проведения работ по</w:t>
            </w: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br/>
              <w:t>консервации объекта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6EEDD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 xml:space="preserve"> размер </w:t>
            </w:r>
            <w:proofErr w:type="gramStart"/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средств</w:t>
            </w:r>
            <w:proofErr w:type="gramEnd"/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 xml:space="preserve"> подлежащих перераспределению на другие проекты</w:t>
            </w:r>
          </w:p>
        </w:tc>
      </w:tr>
      <w:tr w:rsidR="00947F43" w:rsidRPr="003801CC" w14:paraId="6855EA63" w14:textId="77777777" w:rsidTr="00947F43">
        <w:trPr>
          <w:gridAfter w:val="1"/>
          <w:wAfter w:w="13" w:type="dxa"/>
          <w:trHeight w:val="2088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C64C8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position w:val="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3272C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position w:val="0"/>
                <w:sz w:val="24"/>
                <w:szCs w:val="24"/>
                <w:lang w:eastAsia="ru-RU"/>
              </w:rPr>
              <w:t xml:space="preserve">Может ли государственный заказчик строительства приостанавливать производство работ при осуществлении их с отступлением </w:t>
            </w:r>
            <w:proofErr w:type="gramStart"/>
            <w:r w:rsidRPr="003801CC">
              <w:rPr>
                <w:position w:val="0"/>
                <w:sz w:val="24"/>
                <w:szCs w:val="24"/>
                <w:lang w:eastAsia="ru-RU"/>
              </w:rPr>
              <w:t>от требований</w:t>
            </w:r>
            <w:proofErr w:type="gramEnd"/>
            <w:r w:rsidRPr="003801CC">
              <w:rPr>
                <w:position w:val="0"/>
                <w:sz w:val="24"/>
                <w:szCs w:val="24"/>
                <w:lang w:eastAsia="ru-RU"/>
              </w:rPr>
              <w:t xml:space="preserve"> установленных государственными контрактами и другими видами договоров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286A4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position w:val="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4429A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position w:val="0"/>
                <w:sz w:val="24"/>
                <w:szCs w:val="24"/>
                <w:lang w:eastAsia="ru-RU"/>
              </w:rPr>
              <w:t>Нет, если работы уже выполнены более 75%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C060E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position w:val="0"/>
                <w:sz w:val="24"/>
                <w:szCs w:val="24"/>
                <w:lang w:eastAsia="ru-RU"/>
              </w:rPr>
              <w:t>Да, но при условии возмещения всех убытков подрядной организации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12786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position w:val="0"/>
                <w:sz w:val="24"/>
                <w:szCs w:val="24"/>
                <w:lang w:eastAsia="ru-RU"/>
              </w:rPr>
              <w:t>Да</w:t>
            </w:r>
          </w:p>
        </w:tc>
      </w:tr>
      <w:tr w:rsidR="00947F43" w:rsidRPr="003801CC" w14:paraId="1124E449" w14:textId="77777777" w:rsidTr="00947F43">
        <w:trPr>
          <w:gridAfter w:val="1"/>
          <w:wAfter w:w="13" w:type="dxa"/>
          <w:trHeight w:val="2907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4254F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843DB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Задачи строительного контроля решаемые по ходу выполнения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001A5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Учитывать пожелания заказчика при строительстве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C1606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Учитывать несоответствия по качеству работ, поставок, технологической дисциплине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59A0E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Учитывать несоответствия рабочей документации качеству работ, поставок, технологической дисциплине, проверять объем и сроки выполнения работ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3D591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Учитывать несоответствия по качеству работ, поставок, технологической дисциплине, проверять объем и сроки выполнения работ</w:t>
            </w:r>
          </w:p>
        </w:tc>
      </w:tr>
      <w:tr w:rsidR="00947F43" w:rsidRPr="003801CC" w14:paraId="1F3079B4" w14:textId="77777777" w:rsidTr="00947F43">
        <w:trPr>
          <w:gridAfter w:val="1"/>
          <w:wAfter w:w="13" w:type="dxa"/>
          <w:trHeight w:val="10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484F3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D3E1C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Как фиксируются результаты проведения контрольных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49E3A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устно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6D9D6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путем составления предписания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9426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путем составления служебной записки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3527D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путем составления акта</w:t>
            </w:r>
          </w:p>
        </w:tc>
      </w:tr>
      <w:tr w:rsidR="00947F43" w:rsidRPr="003801CC" w14:paraId="0A3E2479" w14:textId="77777777" w:rsidTr="00947F43">
        <w:trPr>
          <w:gridAfter w:val="1"/>
          <w:wAfter w:w="13" w:type="dxa"/>
          <w:trHeight w:val="132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BE527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2B66C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На какой срок выдается наряд-допуск на производство работ повышенной 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425A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срок определяет главный инженер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72692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мес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FB1DD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дн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74AD1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на срок, необходимый для выполнения заданного объема работ</w:t>
            </w:r>
          </w:p>
        </w:tc>
      </w:tr>
      <w:tr w:rsidR="00947F43" w:rsidRPr="003801CC" w14:paraId="5A7C95E1" w14:textId="77777777" w:rsidTr="00947F43">
        <w:trPr>
          <w:gridAfter w:val="1"/>
          <w:wAfter w:w="13" w:type="dxa"/>
          <w:trHeight w:val="2112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F38E1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616D6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В каком случае осуществляется процедура приемки объекта капитального строительства?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6D666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перед оплатой выполненных работ подрядной организации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BEBE9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в случае прекращения строительства, реконструкции на основании замечаний заказчика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60FDA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в случае выполнения отдельных видов работ на основании договора с застройщиком или заказчиком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AFF9A" w14:textId="77777777" w:rsidR="00947F43" w:rsidRPr="003801CC" w:rsidRDefault="00947F43" w:rsidP="003801CC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  <w:lang w:eastAsia="ru-RU"/>
              </w:rPr>
            </w:pPr>
            <w:r w:rsidRPr="003801CC">
              <w:rPr>
                <w:color w:val="000000"/>
                <w:position w:val="0"/>
                <w:sz w:val="24"/>
                <w:szCs w:val="24"/>
                <w:lang w:eastAsia="ru-RU"/>
              </w:rPr>
              <w:t>в случае получения от лица, осуществляющего строительство, письменного извещения о готовности объекта к приемке</w:t>
            </w:r>
          </w:p>
        </w:tc>
      </w:tr>
    </w:tbl>
    <w:p w14:paraId="21A3BCF8" w14:textId="2CC2C0A8" w:rsidR="00A56504" w:rsidRPr="00710494" w:rsidRDefault="00947F43" w:rsidP="008F40FA">
      <w:pPr>
        <w:suppressAutoHyphens w:val="0"/>
        <w:spacing w:after="0" w:line="360" w:lineRule="auto"/>
        <w:ind w:leftChars="0" w:left="0" w:firstLineChars="0" w:firstLine="0"/>
        <w:textDirection w:val="lrTb"/>
        <w:textAlignment w:val="auto"/>
        <w:outlineLvl w:val="9"/>
      </w:pPr>
      <w:r w:rsidRPr="00710494">
        <w:rPr>
          <w:color w:val="000000"/>
        </w:rPr>
        <w:br w:type="page"/>
      </w:r>
    </w:p>
    <w:sectPr w:rsidR="00A56504" w:rsidRPr="00710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9A1D69"/>
    <w:multiLevelType w:val="hybridMultilevel"/>
    <w:tmpl w:val="B7769EA0"/>
    <w:lvl w:ilvl="0" w:tplc="82AC948E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" w15:restartNumberingAfterBreak="0">
    <w:nsid w:val="22C1034E"/>
    <w:multiLevelType w:val="hybridMultilevel"/>
    <w:tmpl w:val="DFDC9EAE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2" w15:restartNumberingAfterBreak="0">
    <w:nsid w:val="2B441D18"/>
    <w:multiLevelType w:val="multilevel"/>
    <w:tmpl w:val="D13EF2F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A20225D"/>
    <w:multiLevelType w:val="hybridMultilevel"/>
    <w:tmpl w:val="FB22EA1A"/>
    <w:lvl w:ilvl="0" w:tplc="3342B826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504"/>
    <w:rsid w:val="00237B0B"/>
    <w:rsid w:val="003801CC"/>
    <w:rsid w:val="004423F9"/>
    <w:rsid w:val="0049137C"/>
    <w:rsid w:val="005B215E"/>
    <w:rsid w:val="00612051"/>
    <w:rsid w:val="00710494"/>
    <w:rsid w:val="008636C0"/>
    <w:rsid w:val="008F40FA"/>
    <w:rsid w:val="00947F43"/>
    <w:rsid w:val="00A54A0B"/>
    <w:rsid w:val="00A56504"/>
    <w:rsid w:val="00AC2F50"/>
    <w:rsid w:val="00AF7D9E"/>
    <w:rsid w:val="00BD7081"/>
    <w:rsid w:val="00BE0F92"/>
    <w:rsid w:val="00E118A5"/>
    <w:rsid w:val="00E4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7488"/>
  <w15:chartTrackingRefBased/>
  <w15:docId w15:val="{408501DA-288F-43CC-A139-9011F3793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5650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B0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47F43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947F43"/>
    <w:rPr>
      <w:color w:val="954F72"/>
      <w:u w:val="single"/>
    </w:rPr>
  </w:style>
  <w:style w:type="paragraph" w:customStyle="1" w:styleId="msonormal0">
    <w:name w:val="msonormal"/>
    <w:basedOn w:val="a"/>
    <w:rsid w:val="00947F4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  <w:lang w:eastAsia="ru-RU"/>
    </w:rPr>
  </w:style>
  <w:style w:type="paragraph" w:customStyle="1" w:styleId="font5">
    <w:name w:val="font5"/>
    <w:basedOn w:val="a"/>
    <w:rsid w:val="00947F4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0"/>
      <w:szCs w:val="20"/>
      <w:lang w:eastAsia="ru-RU"/>
    </w:rPr>
  </w:style>
  <w:style w:type="paragraph" w:customStyle="1" w:styleId="font6">
    <w:name w:val="font6"/>
    <w:basedOn w:val="a"/>
    <w:rsid w:val="00947F4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color w:val="000000"/>
      <w:position w:val="0"/>
      <w:sz w:val="20"/>
      <w:szCs w:val="20"/>
      <w:lang w:eastAsia="ru-RU"/>
    </w:rPr>
  </w:style>
  <w:style w:type="paragraph" w:customStyle="1" w:styleId="xl65">
    <w:name w:val="xl65"/>
    <w:basedOn w:val="a"/>
    <w:rsid w:val="00947F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  <w:lang w:eastAsia="ru-RU"/>
    </w:rPr>
  </w:style>
  <w:style w:type="paragraph" w:customStyle="1" w:styleId="xl66">
    <w:name w:val="xl66"/>
    <w:basedOn w:val="a"/>
    <w:rsid w:val="00947F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  <w:lang w:eastAsia="ru-RU"/>
    </w:rPr>
  </w:style>
  <w:style w:type="paragraph" w:customStyle="1" w:styleId="xl67">
    <w:name w:val="xl67"/>
    <w:basedOn w:val="a"/>
    <w:rsid w:val="00947F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position w:val="0"/>
      <w:sz w:val="20"/>
      <w:szCs w:val="20"/>
      <w:lang w:eastAsia="ru-RU"/>
    </w:rPr>
  </w:style>
  <w:style w:type="paragraph" w:customStyle="1" w:styleId="xl68">
    <w:name w:val="xl68"/>
    <w:basedOn w:val="a"/>
    <w:rsid w:val="00947F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  <w:lang w:eastAsia="ru-RU"/>
    </w:rPr>
  </w:style>
  <w:style w:type="paragraph" w:customStyle="1" w:styleId="xl69">
    <w:name w:val="xl69"/>
    <w:basedOn w:val="a"/>
    <w:rsid w:val="00947F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20"/>
      <w:szCs w:val="20"/>
      <w:lang w:eastAsia="ru-RU"/>
    </w:rPr>
  </w:style>
  <w:style w:type="paragraph" w:customStyle="1" w:styleId="xl70">
    <w:name w:val="xl70"/>
    <w:basedOn w:val="a"/>
    <w:rsid w:val="00947F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  <w:lang w:eastAsia="ru-RU"/>
    </w:rPr>
  </w:style>
  <w:style w:type="paragraph" w:customStyle="1" w:styleId="xl71">
    <w:name w:val="xl71"/>
    <w:basedOn w:val="a"/>
    <w:rsid w:val="00947F43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  <w:lang w:eastAsia="ru-RU"/>
    </w:rPr>
  </w:style>
  <w:style w:type="paragraph" w:customStyle="1" w:styleId="xl72">
    <w:name w:val="xl72"/>
    <w:basedOn w:val="a"/>
    <w:rsid w:val="00947F43"/>
    <w:pP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333333"/>
      <w:position w:val="0"/>
      <w:sz w:val="20"/>
      <w:szCs w:val="20"/>
      <w:lang w:eastAsia="ru-RU"/>
    </w:rPr>
  </w:style>
  <w:style w:type="paragraph" w:customStyle="1" w:styleId="xl73">
    <w:name w:val="xl73"/>
    <w:basedOn w:val="a"/>
    <w:rsid w:val="00947F43"/>
    <w:pP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  <w:lang w:eastAsia="ru-RU"/>
    </w:rPr>
  </w:style>
  <w:style w:type="paragraph" w:customStyle="1" w:styleId="xl74">
    <w:name w:val="xl74"/>
    <w:basedOn w:val="a"/>
    <w:rsid w:val="00947F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position w:val="0"/>
      <w:sz w:val="20"/>
      <w:szCs w:val="20"/>
      <w:lang w:eastAsia="ru-RU"/>
    </w:rPr>
  </w:style>
  <w:style w:type="paragraph" w:customStyle="1" w:styleId="xl75">
    <w:name w:val="xl75"/>
    <w:basedOn w:val="a"/>
    <w:rsid w:val="00947F43"/>
    <w:pP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position w:val="0"/>
      <w:sz w:val="20"/>
      <w:szCs w:val="20"/>
      <w:lang w:eastAsia="ru-RU"/>
    </w:rPr>
  </w:style>
  <w:style w:type="paragraph" w:customStyle="1" w:styleId="xl76">
    <w:name w:val="xl76"/>
    <w:basedOn w:val="a"/>
    <w:rsid w:val="00947F43"/>
    <w:pP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  <w:lang w:eastAsia="ru-RU"/>
    </w:rPr>
  </w:style>
  <w:style w:type="paragraph" w:customStyle="1" w:styleId="xl77">
    <w:name w:val="xl77"/>
    <w:basedOn w:val="a"/>
    <w:rsid w:val="00947F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position w:val="0"/>
      <w:sz w:val="20"/>
      <w:szCs w:val="20"/>
      <w:lang w:eastAsia="ru-RU"/>
    </w:rPr>
  </w:style>
  <w:style w:type="paragraph" w:customStyle="1" w:styleId="xl78">
    <w:name w:val="xl78"/>
    <w:basedOn w:val="a"/>
    <w:rsid w:val="00947F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E1F2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24"/>
      <w:szCs w:val="24"/>
      <w:lang w:eastAsia="ru-RU"/>
    </w:rPr>
  </w:style>
  <w:style w:type="paragraph" w:customStyle="1" w:styleId="xl79">
    <w:name w:val="xl79"/>
    <w:basedOn w:val="a"/>
    <w:rsid w:val="00947F43"/>
    <w:pPr>
      <w:pBdr>
        <w:top w:val="single" w:sz="4" w:space="0" w:color="auto"/>
        <w:bottom w:val="single" w:sz="4" w:space="0" w:color="auto"/>
      </w:pBdr>
      <w:shd w:val="clear" w:color="000000" w:fill="D9E1F2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24"/>
      <w:szCs w:val="24"/>
      <w:lang w:eastAsia="ru-RU"/>
    </w:rPr>
  </w:style>
  <w:style w:type="paragraph" w:customStyle="1" w:styleId="xl80">
    <w:name w:val="xl80"/>
    <w:basedOn w:val="a"/>
    <w:rsid w:val="00947F43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20"/>
      <w:szCs w:val="20"/>
      <w:lang w:eastAsia="ru-RU"/>
    </w:rPr>
  </w:style>
  <w:style w:type="paragraph" w:customStyle="1" w:styleId="xl81">
    <w:name w:val="xl81"/>
    <w:basedOn w:val="a"/>
    <w:rsid w:val="00947F43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20"/>
      <w:szCs w:val="20"/>
      <w:lang w:eastAsia="ru-RU"/>
    </w:rPr>
  </w:style>
  <w:style w:type="paragraph" w:customStyle="1" w:styleId="xl82">
    <w:name w:val="xl82"/>
    <w:basedOn w:val="a"/>
    <w:rsid w:val="00947F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20"/>
      <w:szCs w:val="20"/>
      <w:lang w:eastAsia="ru-RU"/>
    </w:rPr>
  </w:style>
  <w:style w:type="paragraph" w:customStyle="1" w:styleId="xl83">
    <w:name w:val="xl83"/>
    <w:basedOn w:val="a"/>
    <w:rsid w:val="00947F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E1F2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24"/>
      <w:szCs w:val="24"/>
      <w:lang w:eastAsia="ru-RU"/>
    </w:rPr>
  </w:style>
  <w:style w:type="paragraph" w:customStyle="1" w:styleId="xl84">
    <w:name w:val="xl84"/>
    <w:basedOn w:val="a"/>
    <w:rsid w:val="00947F43"/>
    <w:pPr>
      <w:pBdr>
        <w:top w:val="single" w:sz="4" w:space="0" w:color="auto"/>
        <w:bottom w:val="single" w:sz="4" w:space="0" w:color="auto"/>
      </w:pBdr>
      <w:shd w:val="clear" w:color="000000" w:fill="D9E1F2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24"/>
      <w:szCs w:val="24"/>
      <w:lang w:eastAsia="ru-RU"/>
    </w:rPr>
  </w:style>
  <w:style w:type="paragraph" w:customStyle="1" w:styleId="xl85">
    <w:name w:val="xl85"/>
    <w:basedOn w:val="a"/>
    <w:rsid w:val="0049137C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20"/>
      <w:szCs w:val="20"/>
      <w:lang w:eastAsia="ru-RU"/>
    </w:rPr>
  </w:style>
  <w:style w:type="paragraph" w:customStyle="1" w:styleId="xl86">
    <w:name w:val="xl86"/>
    <w:basedOn w:val="a"/>
    <w:rsid w:val="004913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20"/>
      <w:szCs w:val="20"/>
      <w:lang w:eastAsia="ru-RU"/>
    </w:rPr>
  </w:style>
  <w:style w:type="paragraph" w:customStyle="1" w:styleId="xl87">
    <w:name w:val="xl87"/>
    <w:basedOn w:val="a"/>
    <w:rsid w:val="0049137C"/>
    <w:pPr>
      <w:pBdr>
        <w:top w:val="single" w:sz="4" w:space="0" w:color="auto"/>
        <w:bottom w:val="single" w:sz="4" w:space="0" w:color="auto"/>
      </w:pBdr>
      <w:shd w:val="clear" w:color="000000" w:fill="D9E1F2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b/>
      <w:bCs/>
      <w:position w:val="0"/>
      <w:sz w:val="24"/>
      <w:szCs w:val="24"/>
      <w:lang w:eastAsia="ru-RU"/>
    </w:rPr>
  </w:style>
  <w:style w:type="paragraph" w:customStyle="1" w:styleId="xl88">
    <w:name w:val="xl88"/>
    <w:basedOn w:val="a"/>
    <w:rsid w:val="004913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b/>
      <w:bCs/>
      <w:position w:val="0"/>
      <w:sz w:val="24"/>
      <w:szCs w:val="24"/>
      <w:lang w:eastAsia="ru-RU"/>
    </w:rPr>
  </w:style>
  <w:style w:type="paragraph" w:customStyle="1" w:styleId="xl89">
    <w:name w:val="xl89"/>
    <w:basedOn w:val="a"/>
    <w:rsid w:val="004913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E1F2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24"/>
      <w:szCs w:val="24"/>
      <w:lang w:eastAsia="ru-RU"/>
    </w:rPr>
  </w:style>
  <w:style w:type="paragraph" w:customStyle="1" w:styleId="xl90">
    <w:name w:val="xl90"/>
    <w:basedOn w:val="a"/>
    <w:rsid w:val="0049137C"/>
    <w:pPr>
      <w:pBdr>
        <w:top w:val="single" w:sz="4" w:space="0" w:color="auto"/>
        <w:bottom w:val="single" w:sz="4" w:space="0" w:color="auto"/>
      </w:pBdr>
      <w:shd w:val="clear" w:color="000000" w:fill="D9E1F2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3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8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0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6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2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Князева Наталья</dc:creator>
  <cp:keywords/>
  <dc:description/>
  <cp:lastModifiedBy>Махмутова Алсу Рушановна</cp:lastModifiedBy>
  <cp:revision>2</cp:revision>
  <dcterms:created xsi:type="dcterms:W3CDTF">2022-07-01T12:04:00Z</dcterms:created>
  <dcterms:modified xsi:type="dcterms:W3CDTF">2022-07-01T12:04:00Z</dcterms:modified>
</cp:coreProperties>
</file>