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ОБОБЩЕННЫЙ АНАЛИЗ ДЕЯТЕЛЬНОСТИ ЧЛЕНОВ АССОЦИАЦИИ «СРО «СВС» ЗА 202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4 ГОД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(Составлен на основании отчетов, предоставленных членами Ассоциации)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ind w:left="567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Количество членов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Ассоциации 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СРО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«СВС»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left="567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на 31.12.20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4 г. 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625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left="567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предоставили отчетность на 01.03.2024 г. -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470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left="567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Распределение членов, имеющих право осуществлять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строительство, реконструкцию, капитальный ремонт, снос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объектов капитального строительства на объектах по категориям: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объектов использования атомной энергии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0,6</w:t>
      </w:r>
      <w:r>
        <w:rPr>
          <w:rFonts w:ascii="Times New Roman" w:hAnsi="Times New Roman" w:cs="Times New Roman"/>
          <w:sz w:val="28"/>
          <w:szCs w:val="28"/>
        </w:rPr>
        <w:t xml:space="preserve">%;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особо опасных, технически сложных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уникальных объектов –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3,8</w:t>
      </w:r>
      <w:r>
        <w:rPr>
          <w:rFonts w:ascii="Times New Roman" w:hAnsi="Times New Roman" w:cs="Times New Roman"/>
          <w:sz w:val="28"/>
          <w:szCs w:val="28"/>
        </w:rPr>
        <w:t xml:space="preserve">%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объектов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65,6</w:t>
      </w:r>
      <w:r>
        <w:rPr>
          <w:rFonts w:ascii="Times New Roman" w:hAnsi="Times New Roman" w:cs="Times New Roman"/>
          <w:sz w:val="28"/>
          <w:szCs w:val="28"/>
        </w:rPr>
        <w:t xml:space="preserve">%.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67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Распределение членов, имеющих право осуществлять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строительство, реконструкцию, капитальный ремонт, снос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объектов капитального строительства, стоимость которого по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одному договору составляет (с уровнем ответственности):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(не превышает 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0 миллионов рублей) </w:t>
      </w:r>
      <w:r>
        <w:rPr>
          <w:rFonts w:ascii="Times New Roman" w:hAnsi="Times New Roman" w:cs="Times New Roman"/>
          <w:sz w:val="28"/>
          <w:szCs w:val="28"/>
        </w:rPr>
        <w:t xml:space="preserve">79</w:t>
      </w:r>
      <w:r>
        <w:rPr>
          <w:rFonts w:ascii="Times New Roman" w:hAnsi="Times New Roman" w:cs="Times New Roman"/>
          <w:sz w:val="28"/>
          <w:szCs w:val="28"/>
        </w:rPr>
        <w:t xml:space="preserve">%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(не превышает 500 миллионов рублей) 1</w:t>
      </w:r>
      <w:r>
        <w:rPr>
          <w:rFonts w:ascii="Times New Roman" w:hAnsi="Times New Roman" w:cs="Times New Roman"/>
          <w:sz w:val="28"/>
          <w:szCs w:val="28"/>
        </w:rPr>
        <w:t xml:space="preserve">7,1%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Третий (не превышает 3 миллиарда рублей) </w:t>
      </w:r>
      <w:r>
        <w:rPr>
          <w:rFonts w:ascii="Times New Roman" w:hAnsi="Times New Roman" w:cs="Times New Roman"/>
          <w:sz w:val="28"/>
          <w:szCs w:val="28"/>
        </w:rPr>
        <w:t xml:space="preserve">3,2%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Четвертый (не превышает 10 миллиардов рублей) </w:t>
      </w:r>
      <w:r>
        <w:rPr>
          <w:rFonts w:ascii="Times New Roman" w:hAnsi="Times New Roman" w:cs="Times New Roman"/>
          <w:sz w:val="28"/>
          <w:szCs w:val="28"/>
        </w:rPr>
        <w:t xml:space="preserve">0,5</w:t>
      </w:r>
      <w:r>
        <w:rPr>
          <w:rFonts w:ascii="Times New Roman" w:hAnsi="Times New Roman" w:cs="Times New Roman"/>
          <w:sz w:val="28"/>
          <w:szCs w:val="28"/>
        </w:rPr>
        <w:t xml:space="preserve">%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Пятый (свыше 10 миллиардов рублей) 0</w:t>
      </w:r>
      <w:r>
        <w:rPr>
          <w:rFonts w:ascii="Times New Roman" w:hAnsi="Times New Roman" w:cs="Times New Roman"/>
          <w:sz w:val="28"/>
          <w:szCs w:val="28"/>
        </w:rPr>
        <w:t xml:space="preserve">,2</w:t>
      </w:r>
      <w:r>
        <w:rPr>
          <w:rFonts w:ascii="Times New Roman" w:hAnsi="Times New Roman" w:cs="Times New Roman"/>
          <w:sz w:val="28"/>
          <w:szCs w:val="28"/>
        </w:rPr>
        <w:t xml:space="preserve">%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67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Распределение членов, имеющих право заключать договоры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строительного подряда с использованием конкурентных способов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заключения договоров: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left="567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Количество членов, имеющих право выполнять договора строительного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подряда с использованием конкурентных способов заключения договоров: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состоянию на 31.12.20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г. – </w:t>
      </w:r>
      <w:r>
        <w:rPr>
          <w:rFonts w:ascii="Times New Roman" w:hAnsi="Times New Roman" w:cs="Times New Roman"/>
          <w:sz w:val="28"/>
          <w:szCs w:val="28"/>
        </w:rPr>
        <w:t xml:space="preserve">267</w:t>
      </w:r>
      <w:r>
        <w:rPr>
          <w:rFonts w:ascii="Times New Roman" w:hAnsi="Times New Roman" w:cs="Times New Roman"/>
          <w:sz w:val="28"/>
          <w:szCs w:val="28"/>
        </w:rPr>
        <w:t xml:space="preserve"> организаций (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2,</w:t>
      </w:r>
      <w:r>
        <w:rPr>
          <w:rFonts w:ascii="Times New Roman" w:hAnsi="Times New Roman" w:cs="Times New Roman"/>
          <w:sz w:val="28"/>
          <w:szCs w:val="28"/>
        </w:rPr>
        <w:t xml:space="preserve">72%).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Распределение членов СРО, имеющих право заключать договоры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строительного подряда с использованием конкурентных способов в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зависимости от уровня ответственности (совокупный размер обязательств):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(не превышает 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0 миллионов рублей) </w:t>
      </w:r>
      <w:r>
        <w:rPr>
          <w:rFonts w:ascii="Times New Roman" w:hAnsi="Times New Roman" w:cs="Times New Roman"/>
          <w:sz w:val="28"/>
          <w:szCs w:val="28"/>
        </w:rPr>
        <w:t xml:space="preserve">79,4%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Второй (не превышает 500 миллионов рублей) </w:t>
      </w:r>
      <w:r>
        <w:rPr>
          <w:rFonts w:ascii="Times New Roman" w:hAnsi="Times New Roman" w:cs="Times New Roman"/>
          <w:sz w:val="28"/>
          <w:szCs w:val="28"/>
        </w:rPr>
        <w:t xml:space="preserve">15,7</w:t>
      </w:r>
      <w:r>
        <w:rPr>
          <w:rFonts w:ascii="Times New Roman" w:hAnsi="Times New Roman" w:cs="Times New Roman"/>
          <w:sz w:val="28"/>
          <w:szCs w:val="28"/>
        </w:rPr>
        <w:t xml:space="preserve">%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Третий (не превышает 3 миллиардов рублей) </w:t>
      </w:r>
      <w:r>
        <w:rPr>
          <w:rFonts w:ascii="Times New Roman" w:hAnsi="Times New Roman" w:cs="Times New Roman"/>
          <w:sz w:val="28"/>
          <w:szCs w:val="28"/>
        </w:rPr>
        <w:t xml:space="preserve">3,75%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Четвертый (не превышает 10 миллиардов рублей) </w:t>
      </w:r>
      <w:r>
        <w:rPr>
          <w:rFonts w:ascii="Times New Roman" w:hAnsi="Times New Roman" w:cs="Times New Roman"/>
          <w:sz w:val="28"/>
          <w:szCs w:val="28"/>
        </w:rPr>
        <w:t xml:space="preserve">0,4</w:t>
      </w:r>
      <w:r>
        <w:rPr>
          <w:rFonts w:ascii="Times New Roman" w:hAnsi="Times New Roman" w:cs="Times New Roman"/>
          <w:sz w:val="28"/>
          <w:szCs w:val="28"/>
        </w:rPr>
        <w:t xml:space="preserve">%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Пятый (свыше 10 миллиардов рублей) 0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75%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5. Направления деятельности членов Ассоциации в процентном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left="567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отношении от общего: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функций застройщика, самостоятельно осуществляющего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строительство, реконструкцию, капитальный ремонт, снос объектов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капитального строительства – 1% организаций.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функций технического заказчика – 5% организаций.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функций генерального подрядчика – 35% организаций.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Подрядная организация по отдельным видам работ по договорам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строительного подряда – 59% организаций.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67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6. Специализация в процентном отношении от общего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left="567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(ориентировочно):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Генеральный подряд – </w:t>
      </w:r>
      <w:r>
        <w:rPr>
          <w:rFonts w:ascii="Times New Roman" w:hAnsi="Times New Roman" w:cs="Times New Roman"/>
          <w:sz w:val="28"/>
          <w:szCs w:val="28"/>
        </w:rPr>
        <w:t xml:space="preserve">20</w:t>
      </w:r>
      <w:r>
        <w:rPr>
          <w:rFonts w:ascii="Times New Roman" w:hAnsi="Times New Roman" w:cs="Times New Roman"/>
          <w:sz w:val="28"/>
          <w:szCs w:val="28"/>
        </w:rPr>
        <w:t xml:space="preserve">% организаций.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Общестроительные работы – </w:t>
      </w:r>
      <w:r>
        <w:rPr>
          <w:rFonts w:ascii="Times New Roman" w:hAnsi="Times New Roman" w:cs="Times New Roman"/>
          <w:sz w:val="28"/>
          <w:szCs w:val="28"/>
        </w:rPr>
        <w:t xml:space="preserve">46</w:t>
      </w:r>
      <w:r>
        <w:rPr>
          <w:rFonts w:ascii="Times New Roman" w:hAnsi="Times New Roman" w:cs="Times New Roman"/>
          <w:sz w:val="28"/>
          <w:szCs w:val="28"/>
        </w:rPr>
        <w:t xml:space="preserve">% организаций.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Земляные и свайные работы – 11% организаций.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Монтаж строительных конструкций – 17% организаций.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Монтаж светопрозрачных конструкций, фасадные работы -16% организаций.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Кровельные работы – 12% организаций.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Отделочные работы – 20% организаций.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Наружные сети электроснабжения – 12% организаций.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Строительство дорог, мостов, эстакад, благоустройство – 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% организаций.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Гидротехнические работы – 3% организаций.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Другие работы – 17% организаций.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67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 В реализации каких видов строительных проектов участвуют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left="567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организации в процентном отношении от общего (ориентировочно):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left="567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Жилищное строительство и объекты социальной инфраструктуры - </w:t>
      </w:r>
      <w:r>
        <w:rPr>
          <w:rFonts w:ascii="Times New Roman" w:hAnsi="Times New Roman" w:cs="Times New Roman"/>
          <w:sz w:val="28"/>
          <w:szCs w:val="28"/>
        </w:rPr>
        <w:t xml:space="preserve">28%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Промышленное строительство – 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4% организаций.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Строительство коммерческой недвижимости – 30% организаций.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Строительство объектов коммунального хозяйства (сети ВиК, газоснабжение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т.п.) – 17% организаций.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Строительство наружных электрических сетей и сопутствующие объекты –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13% организаций.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Транспортное строительство (авто и жел</w:t>
      </w:r>
      <w:r>
        <w:rPr>
          <w:rFonts w:ascii="Times New Roman" w:hAnsi="Times New Roman" w:cs="Times New Roman"/>
          <w:sz w:val="28"/>
          <w:szCs w:val="28"/>
        </w:rPr>
        <w:t xml:space="preserve">езные</w:t>
      </w:r>
      <w:r>
        <w:rPr>
          <w:rFonts w:ascii="Times New Roman" w:hAnsi="Times New Roman" w:cs="Times New Roman"/>
          <w:sz w:val="28"/>
          <w:szCs w:val="28"/>
        </w:rPr>
        <w:t xml:space="preserve"> дороги, мосты и т.п.) –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Другие виды строительства – </w:t>
      </w:r>
      <w:r>
        <w:rPr>
          <w:rFonts w:ascii="Times New Roman" w:hAnsi="Times New Roman" w:cs="Times New Roman"/>
          <w:sz w:val="28"/>
          <w:szCs w:val="28"/>
        </w:rPr>
        <w:t xml:space="preserve">23</w:t>
      </w:r>
      <w:r>
        <w:rPr>
          <w:rFonts w:ascii="Times New Roman" w:hAnsi="Times New Roman" w:cs="Times New Roman"/>
          <w:sz w:val="28"/>
          <w:szCs w:val="28"/>
        </w:rPr>
        <w:t xml:space="preserve">% организаций.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67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Распределение членов Ассоциации по регионам деятельности: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Основные регионы деятельности по строительству – Са</w:t>
      </w:r>
      <w:r>
        <w:rPr>
          <w:rFonts w:ascii="Times New Roman" w:hAnsi="Times New Roman" w:cs="Times New Roman"/>
          <w:sz w:val="28"/>
          <w:szCs w:val="28"/>
        </w:rPr>
        <w:t xml:space="preserve">марская область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других регионах деятельности по строительству участвуют – 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%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организаций: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Москва, Московская область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Республика Татарстан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Башкортостан, Центральный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регион, Самарская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Саратовская область, Волгоградская область,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Калининградская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ДНР, ЛНР </w:t>
      </w:r>
      <w:r>
        <w:rPr>
          <w:rFonts w:ascii="Times New Roman" w:hAnsi="Times New Roman" w:cs="Times New Roman"/>
          <w:sz w:val="28"/>
          <w:szCs w:val="28"/>
        </w:rPr>
        <w:t xml:space="preserve">и другие регионы.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67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9.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Сведение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 системе контроля качества работ и охране труда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left="567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</w:t>
      </w:r>
      <w:r>
        <w:rPr>
          <w:rFonts w:ascii="Times New Roman" w:hAnsi="Times New Roman" w:cs="Times New Roman"/>
          <w:sz w:val="28"/>
          <w:szCs w:val="28"/>
        </w:rPr>
        <w:t xml:space="preserve">о системе контроля качества и приказа о назначении ответственных за все виды контроля</w:t>
      </w:r>
      <w:r>
        <w:rPr>
          <w:rFonts w:ascii="Times New Roman" w:hAnsi="Times New Roman" w:cs="Times New Roman"/>
          <w:sz w:val="28"/>
          <w:szCs w:val="28"/>
        </w:rPr>
        <w:t xml:space="preserve"> – 73,2</w:t>
      </w:r>
      <w:r>
        <w:rPr>
          <w:rFonts w:ascii="Times New Roman" w:hAnsi="Times New Roman" w:cs="Times New Roman"/>
          <w:sz w:val="28"/>
          <w:szCs w:val="28"/>
        </w:rPr>
        <w:t xml:space="preserve">%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о </w:t>
      </w:r>
      <w:r>
        <w:rPr>
          <w:rFonts w:ascii="Times New Roman" w:hAnsi="Times New Roman" w:cs="Times New Roman"/>
          <w:sz w:val="28"/>
          <w:szCs w:val="28"/>
        </w:rPr>
        <w:t xml:space="preserve">системе охраны труда работников, приказы о назначении лиц, ответственных за проведение мероприятий по охране труда</w:t>
      </w:r>
      <w:r>
        <w:rPr>
          <w:rFonts w:ascii="Times New Roman" w:hAnsi="Times New Roman" w:cs="Times New Roman"/>
          <w:sz w:val="28"/>
          <w:szCs w:val="28"/>
        </w:rPr>
        <w:t xml:space="preserve"> – 73,2%.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67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left="567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10. Сведения о финансово-экономическом положении членов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left="567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Ассоциации: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Средняя выручка </w:t>
      </w:r>
      <w:r>
        <w:rPr>
          <w:rFonts w:ascii="Times New Roman" w:hAnsi="Times New Roman" w:cs="Times New Roman"/>
          <w:sz w:val="28"/>
          <w:szCs w:val="28"/>
        </w:rPr>
        <w:t xml:space="preserve">по договорам строительного подряда, </w:t>
      </w:r>
      <w:r>
        <w:rPr>
          <w:rFonts w:ascii="Times New Roman" w:hAnsi="Times New Roman" w:cs="Times New Roman"/>
          <w:sz w:val="28"/>
          <w:szCs w:val="28"/>
        </w:rPr>
        <w:t xml:space="preserve">на одного члена Ассоциации – </w:t>
      </w:r>
      <w:r>
        <w:rPr>
          <w:rFonts w:ascii="Times New Roman" w:hAnsi="Times New Roman" w:cs="Times New Roman"/>
          <w:sz w:val="28"/>
          <w:szCs w:val="28"/>
        </w:rPr>
        <w:t xml:space="preserve">195 240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Среднегодовая численность работников на одного члена Ассоциации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том числе ИТР – </w:t>
      </w:r>
      <w:r>
        <w:rPr>
          <w:rFonts w:ascii="Times New Roman" w:hAnsi="Times New Roman" w:cs="Times New Roman"/>
          <w:sz w:val="28"/>
          <w:szCs w:val="28"/>
        </w:rPr>
        <w:t xml:space="preserve">10 чел.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67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left="567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11.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Сведения о привлечении к административной ответственности; о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произошедших несчастных случаях: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left="567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об авариях, несчастных случаях, случаях причинения вреда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объектах строительства, реконструкции, капитального ремонта – </w:t>
      </w:r>
      <w:r>
        <w:rPr>
          <w:rFonts w:ascii="Times New Roman" w:hAnsi="Times New Roman" w:cs="Times New Roman"/>
          <w:sz w:val="28"/>
          <w:szCs w:val="28"/>
        </w:rPr>
        <w:t xml:space="preserve">1 случа</w:t>
      </w:r>
      <w:r>
        <w:rPr>
          <w:rFonts w:ascii="Times New Roman" w:hAnsi="Times New Roman" w:cs="Times New Roman"/>
          <w:sz w:val="28"/>
          <w:szCs w:val="28"/>
        </w:rPr>
        <w:t xml:space="preserve">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привлечении к административной ответственности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правонарушения, допущенные при осуществлении строительства,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реконструкции, капитального ремонта – </w:t>
      </w:r>
      <w:r>
        <w:rPr>
          <w:rFonts w:ascii="Times New Roman" w:hAnsi="Times New Roman" w:cs="Times New Roman"/>
          <w:sz w:val="28"/>
          <w:szCs w:val="28"/>
        </w:rPr>
        <w:t xml:space="preserve">нет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наличии предписаний органов государственного строительного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надзора –2.</w:t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Вильмас Ольга</dc:creator>
  <cp:keywords/>
  <dc:description/>
  <cp:revision>3</cp:revision>
  <dcterms:created xsi:type="dcterms:W3CDTF">2022-06-09T06:50:00Z</dcterms:created>
  <dcterms:modified xsi:type="dcterms:W3CDTF">2025-04-09T11:37:24Z</dcterms:modified>
</cp:coreProperties>
</file>