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7ED49" w14:textId="77777777" w:rsidR="00D5771C" w:rsidRDefault="00D5771C" w:rsidP="00D5771C">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 xml:space="preserve">Приложение </w:t>
      </w:r>
    </w:p>
    <w:p w14:paraId="68B6BE91" w14:textId="77777777" w:rsidR="00D5771C" w:rsidRDefault="00D5771C" w:rsidP="00D5771C">
      <w:pPr>
        <w:spacing w:after="0" w:line="240" w:lineRule="auto"/>
        <w:ind w:firstLine="709"/>
        <w:jc w:val="both"/>
        <w:rPr>
          <w:rFonts w:ascii="Times New Roman" w:hAnsi="Times New Roman" w:cs="Times New Roman"/>
          <w:b/>
          <w:sz w:val="24"/>
          <w:szCs w:val="24"/>
        </w:rPr>
      </w:pPr>
    </w:p>
    <w:p w14:paraId="7FDEE3CA" w14:textId="7A7BE5C9" w:rsidR="00D5771C" w:rsidRDefault="00D5771C" w:rsidP="00D5771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Программа вебинара: «Новые модели формирования добросовестного налогового поведения и выстраивания взаимоотношений между налогоплательщиком и надзорными органами. Новое в бухучете, наличных и безналичных расчетах»</w:t>
      </w:r>
    </w:p>
    <w:p w14:paraId="24D5B8D7" w14:textId="77777777" w:rsidR="00D5771C" w:rsidRDefault="00D5771C" w:rsidP="00D5771C">
      <w:pPr>
        <w:spacing w:after="0" w:line="240" w:lineRule="auto"/>
        <w:ind w:firstLine="709"/>
        <w:jc w:val="both"/>
        <w:rPr>
          <w:rFonts w:ascii="Times New Roman" w:eastAsia="Calibri" w:hAnsi="Times New Roman" w:cs="Times New Roman"/>
          <w:bCs/>
          <w:sz w:val="24"/>
          <w:szCs w:val="24"/>
          <w:lang w:bidi="en-US"/>
        </w:rPr>
      </w:pPr>
      <w:r>
        <w:rPr>
          <w:rFonts w:ascii="Times New Roman" w:eastAsia="Calibri" w:hAnsi="Times New Roman" w:cs="Times New Roman"/>
          <w:bCs/>
          <w:sz w:val="24"/>
          <w:szCs w:val="24"/>
          <w:lang w:bidi="en-US"/>
        </w:rPr>
        <w:t>Новый порядок взаимо</w:t>
      </w:r>
      <w:r>
        <w:rPr>
          <w:rFonts w:ascii="Times New Roman" w:eastAsia="Calibri" w:hAnsi="Times New Roman" w:cs="Times New Roman"/>
          <w:bCs/>
          <w:sz w:val="24"/>
          <w:szCs w:val="24"/>
          <w:lang w:bidi="en-US"/>
        </w:rPr>
        <w:softHyphen/>
        <w:t xml:space="preserve">отношений юридических лиц с надзорными и контролирующими органами (ФНС, ПФР, Росстат, </w:t>
      </w:r>
      <w:r>
        <w:rPr>
          <w:rFonts w:ascii="Times New Roman" w:eastAsia="Calibri" w:hAnsi="Times New Roman" w:cs="Times New Roman"/>
          <w:bCs/>
          <w:sz w:val="24"/>
          <w:szCs w:val="24"/>
          <w:highlight w:val="yellow"/>
          <w:lang w:bidi="en-US"/>
        </w:rPr>
        <w:t>Росфинмониторнг, Роструд).</w:t>
      </w:r>
    </w:p>
    <w:p w14:paraId="3620DEB5"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Новое в контроле за наличным и безналичным обращением. Установление нового уровня контроля банков за операциями с наличными в 2020 году. </w:t>
      </w:r>
      <w:r>
        <w:rPr>
          <w:rFonts w:ascii="Times New Roman" w:hAnsi="Times New Roman"/>
          <w:sz w:val="24"/>
          <w:szCs w:val="24"/>
        </w:rPr>
        <w:t xml:space="preserve">Усиление контроля за безналичными операциями, расчетами по сделкам с недвижимостью и легализацией доходов. </w:t>
      </w:r>
      <w:r>
        <w:rPr>
          <w:rFonts w:ascii="Times New Roman" w:eastAsia="Times New Roman" w:hAnsi="Times New Roman" w:cs="Times New Roman"/>
          <w:sz w:val="24"/>
          <w:szCs w:val="24"/>
          <w:lang w:eastAsia="ru-RU"/>
        </w:rPr>
        <w:t>Новый перечень операций, подлежащих обязательному контролю (</w:t>
      </w:r>
      <w:hyperlink r:id="rId4" w:tgtFrame="_blank" w:history="1">
        <w:r>
          <w:rPr>
            <w:rStyle w:val="a3"/>
            <w:rFonts w:ascii="Times New Roman" w:eastAsia="Times New Roman" w:hAnsi="Times New Roman" w:cs="Times New Roman"/>
            <w:color w:val="auto"/>
            <w:sz w:val="24"/>
            <w:szCs w:val="24"/>
            <w:u w:val="none"/>
            <w:lang w:eastAsia="ru-RU"/>
          </w:rPr>
          <w:t>Федеральный закон от 13.07.2020 № 208-ФЗ</w:t>
        </w:r>
      </w:hyperlink>
      <w:r>
        <w:rPr>
          <w:rFonts w:ascii="Times New Roman" w:eastAsia="Times New Roman" w:hAnsi="Times New Roman" w:cs="Times New Roman"/>
          <w:sz w:val="24"/>
          <w:szCs w:val="24"/>
          <w:lang w:eastAsia="ru-RU"/>
        </w:rPr>
        <w:t>).</w:t>
      </w:r>
    </w:p>
    <w:p w14:paraId="260C8DFD" w14:textId="77777777" w:rsidR="00D5771C" w:rsidRDefault="00D5771C" w:rsidP="00D5771C">
      <w:pPr>
        <w:pStyle w:val="a4"/>
        <w:shd w:val="clear" w:color="auto" w:fill="FFFFFF"/>
        <w:spacing w:before="0" w:beforeAutospacing="0" w:after="0" w:afterAutospacing="0"/>
        <w:ind w:firstLine="709"/>
        <w:jc w:val="both"/>
      </w:pPr>
      <w:r>
        <w:t xml:space="preserve">Проект изменений порядка ведения кассовых операций, предусмотренный </w:t>
      </w:r>
      <w:r>
        <w:rPr>
          <w:highlight w:val="yellow"/>
        </w:rPr>
        <w:t>Указанием Банка России от 11.03.2014 N 3210-У</w:t>
      </w:r>
      <w:r>
        <w:t>.</w:t>
      </w:r>
    </w:p>
    <w:p w14:paraId="4AAFDA48"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Новые правила наличных расчетов (указание ЦБ от 09.12.2019 № 5348-У, </w:t>
      </w:r>
      <w:hyperlink r:id="rId5" w:tgtFrame="_blank" w:history="1">
        <w:r>
          <w:rPr>
            <w:rStyle w:val="a3"/>
            <w:rFonts w:ascii="Times New Roman" w:eastAsia="Times New Roman" w:hAnsi="Times New Roman" w:cs="Times New Roman"/>
            <w:color w:val="auto"/>
            <w:sz w:val="24"/>
            <w:szCs w:val="24"/>
            <w:u w:val="none"/>
            <w:lang w:eastAsia="ru-RU"/>
          </w:rPr>
          <w:t>письмо ЦБ от 04.06.2020 № 45–19/5013</w:t>
        </w:r>
      </w:hyperlink>
      <w:r>
        <w:rPr>
          <w:rFonts w:ascii="Times New Roman" w:eastAsia="Times New Roman" w:hAnsi="Times New Roman" w:cs="Times New Roman"/>
          <w:sz w:val="24"/>
          <w:szCs w:val="24"/>
          <w:lang w:eastAsia="ru-RU"/>
        </w:rPr>
        <w:t xml:space="preserve">). Использование налично-денежной выручки на выплаты из кассы, в том числе зарплаты, займов, подотчетных сумм. </w:t>
      </w:r>
    </w:p>
    <w:p w14:paraId="5755DEE9"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Единый КБК для уплаты налогов и единый налоговый платеж (ЕНП). Новые коды выплат в платежных поручениях с 2020 года. Порядок заполнения платежных поручений и реестров на выплату зарплаты при удержаниях по исполнительным листам.</w:t>
      </w:r>
    </w:p>
    <w:p w14:paraId="145579EC"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Применение ККТ при расчетах с работниками, в том числе с подотчетными лицами. Риски по покупкам подотчетных лиц.</w:t>
      </w:r>
    </w:p>
    <w:p w14:paraId="2E330E14"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Реквизит чека в 2021 году: наименование товара (услуги). Расчеты с самозанятыми: новые обязанности ЮЛ и ИП.</w:t>
      </w:r>
    </w:p>
    <w:p w14:paraId="77AFE9B5"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новой главы НК РФ «Оперативный контроль» для целей применения ККТ. Перспективы отмены Федерального закона от 22.05.2003 N 54-ФЗ "О применении контрольно-кассовой техники при осуществлении расчетов в Российской Федерации". </w:t>
      </w:r>
    </w:p>
    <w:p w14:paraId="32A5B9CB" w14:textId="77777777" w:rsidR="00D5771C" w:rsidRDefault="00D5771C" w:rsidP="00D5771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Проект ФСБУ «Документы и документооборот в бухгалтерском учете». Рекомендация Р-113/2020-КпР "Первичные учетные документы в условиях удаленной работы" </w:t>
      </w:r>
      <w:r>
        <w:rPr>
          <w:rFonts w:ascii="Times New Roman" w:eastAsia="Calibri" w:hAnsi="Times New Roman" w:cs="Times New Roman"/>
          <w:sz w:val="24"/>
          <w:szCs w:val="24"/>
        </w:rPr>
        <w:t xml:space="preserve">(Фонд "НРБУ "БМЦ"). </w:t>
      </w:r>
      <w:r>
        <w:rPr>
          <w:rFonts w:ascii="Times New Roman" w:eastAsia="Times New Roman" w:hAnsi="Times New Roman" w:cs="Times New Roman"/>
          <w:color w:val="101010"/>
          <w:sz w:val="24"/>
          <w:szCs w:val="24"/>
          <w:shd w:val="clear" w:color="auto" w:fill="FFFFFF"/>
          <w:lang w:eastAsia="ru-RU"/>
        </w:rPr>
        <w:t>Использование скан-образов первичных документов</w:t>
      </w:r>
      <w:r>
        <w:rPr>
          <w:rFonts w:ascii="Times New Roman" w:eastAsia="Times New Roman" w:hAnsi="Times New Roman" w:cs="Times New Roman"/>
          <w:b/>
          <w:color w:val="101010"/>
          <w:sz w:val="24"/>
          <w:szCs w:val="24"/>
          <w:shd w:val="clear" w:color="auto" w:fill="FFFFFF"/>
          <w:lang w:eastAsia="ru-RU"/>
        </w:rPr>
        <w:t xml:space="preserve"> </w:t>
      </w:r>
      <w:r>
        <w:rPr>
          <w:rFonts w:ascii="Times New Roman" w:eastAsia="Times New Roman" w:hAnsi="Times New Roman" w:cs="Times New Roman"/>
          <w:color w:val="101010"/>
          <w:sz w:val="24"/>
          <w:szCs w:val="24"/>
          <w:shd w:val="clear" w:color="auto" w:fill="FFFFFF"/>
          <w:lang w:eastAsia="ru-RU"/>
        </w:rPr>
        <w:t>(письма Минфина РФ от 22.04.2020 № 03-01-10/32570, от 13.05.2020 № 03-03-07/38785).</w:t>
      </w:r>
      <w:r>
        <w:rPr>
          <w:rFonts w:ascii="Times New Roman" w:eastAsia="Times New Roman" w:hAnsi="Times New Roman" w:cs="Times New Roman"/>
          <w:sz w:val="24"/>
          <w:szCs w:val="24"/>
          <w:lang w:eastAsia="ru-RU"/>
        </w:rPr>
        <w:t xml:space="preserve"> Новое в электронном документообороте.</w:t>
      </w:r>
    </w:p>
    <w:p w14:paraId="1AD57019"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Исправление ошибок в первичных документах</w:t>
      </w:r>
      <w:r>
        <w:rPr>
          <w:rFonts w:ascii="Times New Roman" w:eastAsia="Calibri" w:hAnsi="Times New Roman" w:cs="Times New Roman"/>
          <w:sz w:val="24"/>
          <w:szCs w:val="24"/>
        </w:rPr>
        <w:t xml:space="preserve">, принятие к учету «опоздавших документов» </w:t>
      </w:r>
      <w:r>
        <w:rPr>
          <w:rFonts w:ascii="Times New Roman" w:eastAsia="Times New Roman" w:hAnsi="Times New Roman" w:cs="Times New Roman"/>
          <w:sz w:val="24"/>
          <w:szCs w:val="24"/>
          <w:lang w:eastAsia="ru-RU"/>
        </w:rPr>
        <w:t xml:space="preserve">(Рекомендации </w:t>
      </w:r>
      <w:r>
        <w:rPr>
          <w:rFonts w:ascii="Times New Roman" w:eastAsia="Calibri" w:hAnsi="Times New Roman" w:cs="Times New Roman"/>
          <w:sz w:val="24"/>
          <w:szCs w:val="24"/>
        </w:rPr>
        <w:t>Фонда "НРБУ "БМЦ").</w:t>
      </w:r>
      <w:r>
        <w:rPr>
          <w:rFonts w:ascii="Times New Roman" w:eastAsia="Times New Roman" w:hAnsi="Times New Roman" w:cs="Times New Roman"/>
          <w:sz w:val="24"/>
          <w:szCs w:val="24"/>
          <w:lang w:eastAsia="ru-RU"/>
        </w:rPr>
        <w:t xml:space="preserve"> Метод условного начисления расходов (Accruals) по «опоздавшим» документам.</w:t>
      </w:r>
    </w:p>
    <w:p w14:paraId="093A3046"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bidi="en-US"/>
        </w:rPr>
        <w:t>3. Практика применения Федеральных стандартов бухгалтерского учета ФСБУ в 2020 году, подготовка к переходу на новую учетную политику в 2021 году.</w:t>
      </w:r>
      <w:r>
        <w:rPr>
          <w:rFonts w:ascii="Times New Roman" w:eastAsia="Times New Roman" w:hAnsi="Times New Roman" w:cs="Times New Roman"/>
          <w:sz w:val="24"/>
          <w:szCs w:val="24"/>
          <w:lang w:eastAsia="ru-RU"/>
        </w:rPr>
        <w:t xml:space="preserve"> Перспективы перехода на новые Федеральные стандарты бухгалтерского учета и их адаптация с МСФО. </w:t>
      </w:r>
    </w:p>
    <w:p w14:paraId="185AA1F5"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 запасов.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Общая характеристика изменений в ФСБУ 5/2019 «Запасы», взаимосвязь с </w:t>
      </w:r>
      <w:hyperlink r:id="rId6" w:history="1">
        <w:r>
          <w:rPr>
            <w:rStyle w:val="a3"/>
            <w:rFonts w:ascii="Times New Roman" w:eastAsia="Times New Roman" w:hAnsi="Times New Roman" w:cs="Times New Roman"/>
            <w:color w:val="auto"/>
            <w:sz w:val="24"/>
            <w:szCs w:val="24"/>
            <w:u w:val="none"/>
            <w:lang w:eastAsia="ru-RU"/>
          </w:rPr>
          <w:t>МСФО (IAS) 2</w:t>
        </w:r>
      </w:hyperlink>
      <w:r>
        <w:rPr>
          <w:rFonts w:ascii="Times New Roman" w:eastAsia="Times New Roman" w:hAnsi="Times New Roman" w:cs="Times New Roman"/>
          <w:sz w:val="24"/>
          <w:szCs w:val="24"/>
          <w:lang w:eastAsia="ru-RU"/>
        </w:rPr>
        <w:t xml:space="preserve"> "Запасы".  Расширение сферы действия стандарта на весь операционный цикл. Условия и момент признания запасов в бухгалтерском учете. Выбор варианта признания запасов для управленческих нужд. Способы оценки запасов при их приобретении. Покупка на условиях отсрочки (рассрочки) платежа.  Оценка запасов, остающихся от выбытия основных средств. Запрет на включение в себестоимость запасов: общехозяйственных затрат, расходов на хранение. Ограничение на включение в себестоимость запасов общепроизводственных затрат. </w:t>
      </w:r>
    </w:p>
    <w:p w14:paraId="6803F424" w14:textId="77777777" w:rsidR="00D5771C" w:rsidRDefault="00D5771C" w:rsidP="00D5771C">
      <w:pPr>
        <w:tabs>
          <w:tab w:val="left" w:pos="252"/>
          <w:tab w:val="left" w:pos="43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 долгосрочных активов к продаже.</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Включение долгосрочных активов к продаже в сферу применения ФСБУ 5/2019 «Запасы» и ПБУ 16/02 «Информация по прекращаемой деятельности», взаимосвязь </w:t>
      </w:r>
      <w:r>
        <w:rPr>
          <w:rFonts w:ascii="Times New Roman" w:eastAsia="Times New Roman" w:hAnsi="Times New Roman" w:cs="Times New Roman"/>
          <w:b/>
          <w:sz w:val="24"/>
          <w:szCs w:val="24"/>
          <w:lang w:eastAsia="ru-RU"/>
        </w:rPr>
        <w:t xml:space="preserve">с </w:t>
      </w:r>
      <w:hyperlink r:id="rId7" w:history="1">
        <w:r>
          <w:rPr>
            <w:rStyle w:val="a3"/>
            <w:rFonts w:ascii="Times New Roman" w:eastAsia="Times New Roman" w:hAnsi="Times New Roman" w:cs="Times New Roman"/>
            <w:color w:val="auto"/>
            <w:sz w:val="24"/>
            <w:szCs w:val="24"/>
            <w:u w:val="none"/>
            <w:lang w:eastAsia="ru-RU"/>
          </w:rPr>
          <w:t>МСФО (IFRS) 5</w:t>
        </w:r>
      </w:hyperlink>
      <w:r>
        <w:rPr>
          <w:rFonts w:ascii="Times New Roman" w:eastAsia="Times New Roman" w:hAnsi="Times New Roman" w:cs="Times New Roman"/>
          <w:sz w:val="24"/>
          <w:szCs w:val="24"/>
          <w:lang w:eastAsia="ru-RU"/>
        </w:rPr>
        <w:t xml:space="preserve"> "Внеоборотные активы, предназначенные для продажи, и прекращенная деятельность". Порядок признания, первоначальной и последующей оценки долгосрочных активов к продаже. Раскрытие информации в бухгалтерской (финансовой) отчетности.</w:t>
      </w:r>
    </w:p>
    <w:p w14:paraId="59C4DE41" w14:textId="77777777" w:rsidR="00056627" w:rsidRDefault="00056627"/>
    <w:sectPr w:rsidR="00056627" w:rsidSect="00D5771C">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26"/>
    <w:rsid w:val="00056627"/>
    <w:rsid w:val="00134A80"/>
    <w:rsid w:val="003F03B2"/>
    <w:rsid w:val="008E4226"/>
    <w:rsid w:val="00D5771C"/>
    <w:rsid w:val="00F24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7359"/>
  <w15:chartTrackingRefBased/>
  <w15:docId w15:val="{D3266179-EF47-4445-92FF-B226466E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71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71C"/>
    <w:rPr>
      <w:color w:val="0563C1" w:themeColor="hyperlink"/>
      <w:u w:val="single"/>
    </w:rPr>
  </w:style>
  <w:style w:type="paragraph" w:styleId="a4">
    <w:name w:val="Normal (Web)"/>
    <w:basedOn w:val="a"/>
    <w:uiPriority w:val="99"/>
    <w:semiHidden/>
    <w:unhideWhenUsed/>
    <w:rsid w:val="00D577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75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DOCS&amp;n=202600&amp;date=12.05.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DOCS&amp;n=202740&amp;date=12.05.2020" TargetMode="External"/><Relationship Id="rId5" Type="http://schemas.openxmlformats.org/officeDocument/2006/relationships/hyperlink" Target="https://e.gazeta-unp.ru/npd-doc?npmid=99&amp;npid=565139061" TargetMode="External"/><Relationship Id="rId4" Type="http://schemas.openxmlformats.org/officeDocument/2006/relationships/hyperlink" Target="https://e.gazeta-unp.ru/npd-doc?npmid=99&amp;npid=56528600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Анна</dc:creator>
  <cp:keywords/>
  <dc:description/>
  <cp:lastModifiedBy>Петрова Анна</cp:lastModifiedBy>
  <cp:revision>3</cp:revision>
  <dcterms:created xsi:type="dcterms:W3CDTF">2020-10-15T06:18:00Z</dcterms:created>
  <dcterms:modified xsi:type="dcterms:W3CDTF">2020-10-15T06:18:00Z</dcterms:modified>
</cp:coreProperties>
</file>